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-558799</wp:posOffset>
                </wp:positionV>
                <wp:extent cx="4813300" cy="1117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2950462" y="3231042"/>
                          <a:ext cx="4791075" cy="1097914"/>
                        </a:xfrm>
                        <a:prstGeom prst="wedgeRoundRectCallout">
                          <a:avLst>
                            <a:gd fmla="val -37152" name="adj1"/>
                            <a:gd fmla="val 67361" name="adj2"/>
                            <a:gd fmla="val 16667" name="adj3"/>
                          </a:avLst>
                        </a:prstGeom>
                        <a:solidFill>
                          <a:srgbClr val="4BACC6"/>
                        </a:solidFill>
                        <a:ln cap="flat" cmpd="sng" w="25400">
                          <a:solidFill>
                            <a:srgbClr val="20586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Center for Security Studies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invites you to an expert debate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-558799</wp:posOffset>
                </wp:positionV>
                <wp:extent cx="4813300" cy="11176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0" cy="111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2857500</wp:posOffset>
                </wp:positionV>
                <wp:extent cx="6756400" cy="4415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74467" y="1580359"/>
                          <a:ext cx="6743064" cy="4399279"/>
                        </a:xfrm>
                        <a:prstGeom prst="wedgeRoundRectCallout">
                          <a:avLst>
                            <a:gd fmla="val -4098" name="adj1"/>
                            <a:gd fmla="val 57469" name="adj2"/>
                            <a:gd fmla="val 16667" name="adj3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243F6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8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  <w:t xml:space="preserve">Cyber experts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from FOUR Visegrad countries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8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Lucie Kadlecová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National Security Authority of the Czech Republic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Zoltan Turai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(Ministry of Defense, HU)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Zsolt Illési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College of Dunaújváros, HU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Kamil Gapiński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(Casimir Pulaski Foundation, PL)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Tomasz Smura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(Casimir Pulaski Foundation, PL)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Maroš Kirňák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(Slovak Security Policy Institute, SK)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2857500</wp:posOffset>
                </wp:positionV>
                <wp:extent cx="6756400" cy="441545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0" cy="441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8648700</wp:posOffset>
                </wp:positionV>
                <wp:extent cx="7429500" cy="6858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635695" y="3441553"/>
                          <a:ext cx="7420610" cy="67689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register at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http://registrace.mup.cz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8648700</wp:posOffset>
                </wp:positionV>
                <wp:extent cx="7429500" cy="6858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800100</wp:posOffset>
                </wp:positionV>
                <wp:extent cx="6426200" cy="1739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39884" y="2922750"/>
                          <a:ext cx="6412229" cy="1714500"/>
                        </a:xfrm>
                        <a:prstGeom prst="wedgeRoundRectCallout">
                          <a:avLst>
                            <a:gd fmla="val 6896" name="adj1"/>
                            <a:gd fmla="val 64368" name="adj2"/>
                            <a:gd fmla="val 16667" name="adj3"/>
                          </a:avLst>
                        </a:prstGeom>
                        <a:solidFill>
                          <a:srgbClr val="F79646"/>
                        </a:solidFill>
                        <a:ln cap="flat" cmpd="sng" w="25400">
                          <a:solidFill>
                            <a:srgbClr val="974706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SECURE AND STRONG: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V4 GOES CYBER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800100</wp:posOffset>
                </wp:positionV>
                <wp:extent cx="6426200" cy="17399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-584199</wp:posOffset>
                </wp:positionH>
                <wp:positionV relativeFrom="paragraph">
                  <wp:posOffset>7658100</wp:posOffset>
                </wp:positionV>
                <wp:extent cx="6997700" cy="1155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>
                          <a:off x="1859849" y="3213263"/>
                          <a:ext cx="6972300" cy="1133474"/>
                        </a:xfrm>
                        <a:prstGeom prst="wedgeRoundRectCallout">
                          <a:avLst>
                            <a:gd fmla="val -34261" name="adj1"/>
                            <a:gd fmla="val 30286" name="adj2"/>
                            <a:gd fmla="val 16667" name="adj3"/>
                          </a:avLst>
                        </a:prstGeom>
                        <a:solidFill>
                          <a:srgbClr val="8064A2"/>
                        </a:solidFill>
                        <a:ln cap="flat" cmpd="sng" w="25400">
                          <a:solidFill>
                            <a:srgbClr val="3F315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date: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Úterý 5. dubna 2016, 17:00 – 19:00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place:		Dubečská 10, Praha 10,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místnost 205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-584199</wp:posOffset>
                </wp:positionH>
                <wp:positionV relativeFrom="paragraph">
                  <wp:posOffset>7658100</wp:posOffset>
                </wp:positionV>
                <wp:extent cx="6997700" cy="1155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4775835</wp:posOffset>
          </wp:positionH>
          <wp:positionV relativeFrom="paragraph">
            <wp:posOffset>-239394</wp:posOffset>
          </wp:positionV>
          <wp:extent cx="1693545" cy="476250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354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image" Target="media/image11.png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7.png"/><Relationship Id="rId8" Type="http://schemas.openxmlformats.org/officeDocument/2006/relationships/image" Target="media/image0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